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47C8" w14:textId="36861A25" w:rsidR="005E6493" w:rsidRPr="005E6493" w:rsidRDefault="00A26884" w:rsidP="005E6493">
      <w:pPr>
        <w:rPr>
          <w:b/>
          <w:bCs/>
          <w:color w:val="00125C"/>
          <w:sz w:val="36"/>
          <w:szCs w:val="36"/>
          <w:lang w:val="es-419"/>
        </w:rPr>
      </w:pPr>
      <w:r w:rsidRPr="00CF3E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382E4" wp14:editId="5F11AC03">
                <wp:simplePos x="0" y="0"/>
                <wp:positionH relativeFrom="column">
                  <wp:posOffset>4132162</wp:posOffset>
                </wp:positionH>
                <wp:positionV relativeFrom="paragraph">
                  <wp:posOffset>-333809</wp:posOffset>
                </wp:positionV>
                <wp:extent cx="3771521" cy="289696"/>
                <wp:effectExtent l="0" t="0" r="0" b="0"/>
                <wp:wrapNone/>
                <wp:docPr id="531989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521" cy="289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201FD7" w14:textId="77777777" w:rsidR="00A26884" w:rsidRPr="00766EE9" w:rsidRDefault="00A26884" w:rsidP="00A26884">
                            <w:pPr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766EE9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Comunidad de </w:t>
                            </w:r>
                            <w:proofErr w:type="spellStart"/>
                            <w:r w:rsidRPr="00766EE9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Aprendizaje</w:t>
                            </w:r>
                            <w:proofErr w:type="spellEnd"/>
                            <w:r w:rsidRPr="00766EE9">
                              <w:rPr>
                                <w:b/>
                                <w:color w:val="FFCC03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382E4" id="Rectangle 1" o:spid="_x0000_s1026" style="position:absolute;margin-left:325.35pt;margin-top:-26.3pt;width:296.9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" filled="f" stroked="f">
                <v:textbox inset="0,0,0,0">
                  <w:txbxContent>
                    <w:p w14:paraId="6E201FD7" w14:textId="77777777" w:rsidR="00A26884" w:rsidRPr="00766EE9" w:rsidRDefault="00A26884" w:rsidP="00A26884">
                      <w:pPr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766EE9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Comunidad de </w:t>
                      </w:r>
                      <w:proofErr w:type="spellStart"/>
                      <w:r w:rsidRPr="00766EE9">
                        <w:rPr>
                          <w:b/>
                          <w:color w:val="FFFFFF"/>
                          <w:sz w:val="24"/>
                          <w:szCs w:val="24"/>
                        </w:rPr>
                        <w:t>Aprendizaje</w:t>
                      </w:r>
                      <w:proofErr w:type="spellEnd"/>
                      <w:r w:rsidRPr="00766EE9">
                        <w:rPr>
                          <w:b/>
                          <w:color w:val="FFCC03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5E6493" w:rsidRPr="005E6493">
        <w:rPr>
          <w:b/>
          <w:bCs/>
          <w:color w:val="00125C"/>
          <w:sz w:val="36"/>
          <w:szCs w:val="36"/>
          <w:lang w:val="es-419"/>
        </w:rPr>
        <w:t>Memoria: Sesión del 19 de mayo 2026.</w:t>
      </w:r>
    </w:p>
    <w:p w14:paraId="70E58418" w14:textId="5CCF847E" w:rsidR="005E6493" w:rsidRDefault="005E6493" w:rsidP="005E6493">
      <w:pPr>
        <w:rPr>
          <w:color w:val="002060"/>
          <w:sz w:val="20"/>
          <w:szCs w:val="20"/>
          <w:lang w:val="es-419"/>
        </w:rPr>
      </w:pPr>
      <w:r w:rsidRPr="005E6493">
        <w:rPr>
          <w:color w:val="002060"/>
          <w:sz w:val="20"/>
          <w:szCs w:val="20"/>
          <w:lang w:val="es-419"/>
        </w:rPr>
        <w:t>Modalidad virtual</w:t>
      </w:r>
      <w:r>
        <w:rPr>
          <w:color w:val="002060"/>
          <w:sz w:val="20"/>
          <w:szCs w:val="20"/>
          <w:lang w:val="es-419"/>
        </w:rPr>
        <w:t>. 104 participantes.</w:t>
      </w:r>
    </w:p>
    <w:p w14:paraId="6F42A009" w14:textId="1B10B979" w:rsidR="005E6493" w:rsidRPr="005E6493" w:rsidRDefault="005E6493" w:rsidP="005E6493">
      <w:pPr>
        <w:rPr>
          <w:b/>
          <w:bCs/>
          <w:color w:val="002060"/>
          <w:sz w:val="28"/>
          <w:szCs w:val="28"/>
          <w:lang w:val="es-419"/>
        </w:rPr>
      </w:pPr>
      <w:r w:rsidRPr="005E6493">
        <w:rPr>
          <w:b/>
          <w:bCs/>
          <w:color w:val="002060"/>
          <w:sz w:val="28"/>
          <w:szCs w:val="28"/>
          <w:lang w:val="es-419"/>
        </w:rPr>
        <w:t>Tema: EUDR en la Práctica</w:t>
      </w:r>
      <w:r>
        <w:rPr>
          <w:b/>
          <w:bCs/>
          <w:color w:val="002060"/>
          <w:sz w:val="28"/>
          <w:szCs w:val="28"/>
          <w:lang w:val="es-419"/>
        </w:rPr>
        <w:t>.</w:t>
      </w:r>
    </w:p>
    <w:p w14:paraId="040821E3" w14:textId="31995561" w:rsidR="005E6493" w:rsidRPr="0036687A" w:rsidRDefault="00285B3D" w:rsidP="002E1945">
      <w:pPr>
        <w:jc w:val="both"/>
        <w:rPr>
          <w:rStyle w:val="eop"/>
          <w:color w:val="002060"/>
          <w:sz w:val="20"/>
          <w:szCs w:val="20"/>
          <w:shd w:val="clear" w:color="auto" w:fill="FFFFFF"/>
          <w:lang w:val="es-ES"/>
        </w:rPr>
      </w:pPr>
      <w:r w:rsidRPr="002E1945">
        <w:rPr>
          <w:color w:val="002060"/>
          <w:sz w:val="20"/>
          <w:szCs w:val="20"/>
          <w:lang w:val="es-419"/>
        </w:rPr>
        <w:t xml:space="preserve">La sesión realizada el martes 19 de mayo de 2026, permitió </w:t>
      </w:r>
      <w:r w:rsidR="00E15589" w:rsidRPr="002E1945">
        <w:rPr>
          <w:color w:val="002060"/>
          <w:sz w:val="20"/>
          <w:szCs w:val="20"/>
          <w:lang w:val="es-419"/>
        </w:rPr>
        <w:t xml:space="preserve">abordar temas sobre como la EUDR llega a facilitar y practicar en el desarrollo regional. </w:t>
      </w:r>
      <w:r w:rsidR="002E1945" w:rsidRPr="002E1945">
        <w:rPr>
          <w:rStyle w:val="normaltextrun"/>
          <w:color w:val="002060"/>
          <w:sz w:val="20"/>
          <w:szCs w:val="20"/>
          <w:shd w:val="clear" w:color="auto" w:fill="FFFFFF"/>
          <w:lang w:val="es-419"/>
        </w:rPr>
        <w:t>A continuación, se presentan de forma resumida los temas abordados. </w:t>
      </w:r>
      <w:r w:rsidR="002E1945" w:rsidRPr="002E1945">
        <w:rPr>
          <w:rStyle w:val="normaltextrun"/>
          <w:b/>
          <w:bCs/>
          <w:color w:val="002060"/>
          <w:sz w:val="20"/>
          <w:szCs w:val="20"/>
          <w:shd w:val="clear" w:color="auto" w:fill="FFFFFF"/>
          <w:lang w:val="es-419"/>
        </w:rPr>
        <w:t>Para más detalle, se recomienda consultar las presentaciones adjuntas.</w:t>
      </w:r>
      <w:r w:rsidR="002E1945" w:rsidRPr="0036687A">
        <w:rPr>
          <w:rStyle w:val="eop"/>
          <w:color w:val="002060"/>
          <w:sz w:val="20"/>
          <w:szCs w:val="20"/>
          <w:shd w:val="clear" w:color="auto" w:fill="FFFFFF"/>
          <w:lang w:val="es-ES"/>
        </w:rPr>
        <w:t> </w:t>
      </w:r>
    </w:p>
    <w:p w14:paraId="47B158BC" w14:textId="6A1DFABE" w:rsidR="002E1945" w:rsidRPr="00A26884" w:rsidRDefault="002E1945" w:rsidP="005E6493">
      <w:pPr>
        <w:rPr>
          <w:b/>
          <w:bCs/>
          <w:color w:val="002060"/>
          <w:sz w:val="20"/>
          <w:szCs w:val="20"/>
          <w:lang w:val="es-419"/>
        </w:rPr>
      </w:pPr>
    </w:p>
    <w:p w14:paraId="33FB5442" w14:textId="3B1B2F9C" w:rsidR="005E6493" w:rsidRPr="005E6493" w:rsidRDefault="005E6493" w:rsidP="005E6493">
      <w:pPr>
        <w:rPr>
          <w:b/>
          <w:bCs/>
          <w:color w:val="002060"/>
          <w:sz w:val="28"/>
          <w:szCs w:val="28"/>
          <w:lang w:val="es-419"/>
        </w:rPr>
      </w:pPr>
      <w:r w:rsidRPr="005E6493">
        <w:rPr>
          <w:b/>
          <w:bCs/>
          <w:color w:val="002060"/>
          <w:sz w:val="28"/>
          <w:szCs w:val="28"/>
          <w:lang w:val="es-419"/>
        </w:rPr>
        <w:t xml:space="preserve">Palabras de Bienvenida. </w:t>
      </w:r>
    </w:p>
    <w:p w14:paraId="74E6BFBA" w14:textId="224742DD" w:rsidR="005E6493" w:rsidRPr="005E6493" w:rsidRDefault="005E6493" w:rsidP="00A27FDD">
      <w:pPr>
        <w:pStyle w:val="ListParagraph"/>
        <w:numPr>
          <w:ilvl w:val="0"/>
          <w:numId w:val="8"/>
        </w:numPr>
        <w:jc w:val="both"/>
        <w:rPr>
          <w:color w:val="002060"/>
          <w:sz w:val="20"/>
          <w:szCs w:val="20"/>
          <w:lang w:val="es-SV"/>
        </w:rPr>
      </w:pPr>
      <w:r w:rsidRPr="005E6493">
        <w:rPr>
          <w:b/>
          <w:bCs/>
          <w:color w:val="002060"/>
          <w:sz w:val="20"/>
          <w:szCs w:val="20"/>
          <w:lang w:val="es-SV"/>
        </w:rPr>
        <w:t>Kathrin Renner, Oficial de Cooperación Regional Centroamérica, Delegación de la Unión Europea en Costa Rica</w:t>
      </w:r>
      <w:r>
        <w:rPr>
          <w:b/>
          <w:bCs/>
          <w:color w:val="002060"/>
          <w:sz w:val="20"/>
          <w:szCs w:val="20"/>
          <w:lang w:val="es-SV"/>
        </w:rPr>
        <w:t xml:space="preserve">, </w:t>
      </w:r>
      <w:r>
        <w:rPr>
          <w:color w:val="002060"/>
          <w:sz w:val="20"/>
          <w:szCs w:val="20"/>
          <w:lang w:val="es-SV"/>
        </w:rPr>
        <w:t>abrió la sesión destacando</w:t>
      </w:r>
      <w:r w:rsidRPr="005E6493">
        <w:rPr>
          <w:color w:val="002060"/>
          <w:sz w:val="20"/>
          <w:szCs w:val="20"/>
          <w:lang w:val="es-SV"/>
        </w:rPr>
        <w:t xml:space="preserve"> el trabajo conjunto de varios actores iniciado el 2023 y que ha avanzado satisfactoriamente hasta la actualidad. Esta iniciativa se </w:t>
      </w:r>
      <w:r w:rsidR="00E34B2A">
        <w:rPr>
          <w:color w:val="002060"/>
          <w:sz w:val="20"/>
          <w:szCs w:val="20"/>
          <w:lang w:val="es-SV"/>
        </w:rPr>
        <w:t xml:space="preserve"> </w:t>
      </w:r>
      <w:r w:rsidRPr="005E6493">
        <w:rPr>
          <w:color w:val="002060"/>
          <w:sz w:val="20"/>
          <w:szCs w:val="20"/>
          <w:lang w:val="es-SV"/>
        </w:rPr>
        <w:t>complementa con otros espacios como los Congresos EUDR&amp;Data del 2024, 2025 y el que esta en preparación para el 2026. A través de estos espacios la Union Europea cumple su rol de facilitar el d</w:t>
      </w:r>
      <w:r w:rsidR="00E15589">
        <w:rPr>
          <w:color w:val="002060"/>
          <w:sz w:val="20"/>
          <w:szCs w:val="20"/>
          <w:lang w:val="es-SV"/>
        </w:rPr>
        <w:t>iá</w:t>
      </w:r>
      <w:r w:rsidRPr="005E6493">
        <w:rPr>
          <w:color w:val="002060"/>
          <w:sz w:val="20"/>
          <w:szCs w:val="20"/>
          <w:lang w:val="es-SV"/>
        </w:rPr>
        <w:t>logo y apoyar a los principales grupos de interés vinculados al Reglamento y al desarrollo regional.</w:t>
      </w:r>
    </w:p>
    <w:p w14:paraId="53563236" w14:textId="77777777" w:rsidR="005E6493" w:rsidRDefault="005E6493" w:rsidP="005E6493">
      <w:pPr>
        <w:rPr>
          <w:color w:val="002060"/>
          <w:sz w:val="20"/>
          <w:szCs w:val="20"/>
          <w:lang w:val="es-SV"/>
        </w:rPr>
      </w:pPr>
    </w:p>
    <w:p w14:paraId="408FC3C0" w14:textId="6A423A9F" w:rsidR="005E6493" w:rsidRDefault="005E6493" w:rsidP="005E6493">
      <w:pPr>
        <w:rPr>
          <w:b/>
          <w:bCs/>
          <w:color w:val="002060"/>
          <w:sz w:val="28"/>
          <w:szCs w:val="28"/>
          <w:lang w:val="es-SV"/>
        </w:rPr>
      </w:pPr>
      <w:r>
        <w:rPr>
          <w:b/>
          <w:bCs/>
          <w:color w:val="002060"/>
          <w:sz w:val="28"/>
          <w:szCs w:val="28"/>
          <w:lang w:val="es-SV"/>
        </w:rPr>
        <w:t>Ampliación</w:t>
      </w:r>
      <w:r w:rsidRPr="005E6493">
        <w:rPr>
          <w:b/>
          <w:bCs/>
          <w:color w:val="002060"/>
          <w:sz w:val="28"/>
          <w:szCs w:val="28"/>
          <w:lang w:val="es-SV"/>
        </w:rPr>
        <w:t xml:space="preserve"> de la Comunidad de Aprendizaje.</w:t>
      </w:r>
    </w:p>
    <w:p w14:paraId="5BB92C2F" w14:textId="0C1BC108" w:rsidR="00C71E8F" w:rsidRPr="00C71E8F" w:rsidRDefault="00A27FDD" w:rsidP="00C71E8F">
      <w:pPr>
        <w:pStyle w:val="ListParagraph"/>
        <w:numPr>
          <w:ilvl w:val="0"/>
          <w:numId w:val="8"/>
        </w:numPr>
        <w:jc w:val="both"/>
        <w:rPr>
          <w:color w:val="002060"/>
          <w:sz w:val="20"/>
          <w:szCs w:val="20"/>
          <w:lang w:val="es-SV"/>
        </w:rPr>
      </w:pPr>
      <w:r w:rsidRPr="00A27FDD">
        <w:rPr>
          <w:color w:val="002060"/>
          <w:sz w:val="20"/>
          <w:szCs w:val="20"/>
          <w:lang w:val="es-SV"/>
        </w:rPr>
        <w:t>Se destacó la apertura de la Comunidad de Aprendizaje Latinoamérica sobre EUDR, moderado por Orietta Alvarenga, destacando la ampliación del espacio de Centroamérica hacia un intercambio a nivel latinoamericano. Se agradeció el apoyo de la Unión Europea, GIZ, PROMECAFE y COSA</w:t>
      </w:r>
      <w:r w:rsidR="00C71E8F">
        <w:rPr>
          <w:color w:val="002060"/>
          <w:sz w:val="20"/>
          <w:szCs w:val="20"/>
          <w:lang w:val="es-SV"/>
        </w:rPr>
        <w:t xml:space="preserve">. </w:t>
      </w:r>
    </w:p>
    <w:p w14:paraId="4AB8FE64" w14:textId="451D8ECE" w:rsidR="00A27FDD" w:rsidRPr="00C71E8F" w:rsidRDefault="005E6493" w:rsidP="00C71E8F">
      <w:pPr>
        <w:pStyle w:val="ListParagraph"/>
        <w:numPr>
          <w:ilvl w:val="0"/>
          <w:numId w:val="8"/>
        </w:numPr>
        <w:jc w:val="both"/>
        <w:rPr>
          <w:color w:val="002060"/>
          <w:sz w:val="20"/>
          <w:szCs w:val="20"/>
          <w:lang w:val="es-419"/>
        </w:rPr>
      </w:pPr>
      <w:r w:rsidRPr="005E6493">
        <w:rPr>
          <w:b/>
          <w:bCs/>
          <w:color w:val="002060"/>
          <w:sz w:val="20"/>
          <w:szCs w:val="20"/>
          <w:lang w:val="es-419"/>
        </w:rPr>
        <w:t xml:space="preserve">Jorge Carrillo, Coordinador de TEI Hub LATAM, </w:t>
      </w:r>
      <w:r w:rsidRPr="005E6493">
        <w:rPr>
          <w:color w:val="002060"/>
          <w:sz w:val="20"/>
          <w:szCs w:val="20"/>
          <w:lang w:val="es-419"/>
        </w:rPr>
        <w:t>comparte unas breves palabras sobre la importancia de la incorporación de la Team Europe Initiative on Deforestation-Free Value Chains in Latin America a la Comunidad de Aprendizaje, lo cual amplia las posibilidades de di</w:t>
      </w:r>
      <w:r w:rsidR="00C71E8F">
        <w:rPr>
          <w:color w:val="002060"/>
          <w:sz w:val="20"/>
          <w:szCs w:val="20"/>
          <w:lang w:val="es-419"/>
        </w:rPr>
        <w:t>á</w:t>
      </w:r>
      <w:r w:rsidRPr="005E6493">
        <w:rPr>
          <w:color w:val="002060"/>
          <w:sz w:val="20"/>
          <w:szCs w:val="20"/>
          <w:lang w:val="es-419"/>
        </w:rPr>
        <w:t>logo e intercambio entre los actores clave para facilitar la respuesta de los países ante el EUDR desde una perspectiva de sostenibilidad.</w:t>
      </w:r>
    </w:p>
    <w:p w14:paraId="4C98D8A6" w14:textId="77777777" w:rsidR="00DE3F1C" w:rsidRDefault="005E6493" w:rsidP="005E6493">
      <w:pPr>
        <w:pStyle w:val="ListParagraph"/>
        <w:numPr>
          <w:ilvl w:val="0"/>
          <w:numId w:val="8"/>
        </w:numPr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>En su intervención, Jorge Carrillo destacó el papel de la iniciativa Team Europe como mecanismo de articulación entre proyectos de cooperación, gobiernos nacionales y actores de las cadenas de valor para facilitar la transición hacia cadenas libres de deforestación. Asimismo, presentó el Zero Deforestation Hub como plataforma para gestión del conocimiento, intercambio y acceso a herramientas y avances relacionados con EUDR en América Latina.</w:t>
      </w:r>
    </w:p>
    <w:p w14:paraId="1E62C9D9" w14:textId="6D1EAB27" w:rsidR="005E6493" w:rsidRPr="00DE3F1C" w:rsidRDefault="005E6493" w:rsidP="005E6493">
      <w:pPr>
        <w:pStyle w:val="ListParagraph"/>
        <w:numPr>
          <w:ilvl w:val="0"/>
          <w:numId w:val="8"/>
        </w:numPr>
        <w:jc w:val="both"/>
        <w:rPr>
          <w:color w:val="002060"/>
          <w:sz w:val="20"/>
          <w:szCs w:val="20"/>
        </w:rPr>
      </w:pPr>
      <w:r w:rsidRPr="00DE3F1C">
        <w:rPr>
          <w:color w:val="002060"/>
          <w:sz w:val="20"/>
          <w:szCs w:val="20"/>
        </w:rPr>
        <w:t xml:space="preserve">Página web: </w:t>
      </w:r>
      <w:hyperlink r:id="rId7" w:history="1">
        <w:r w:rsidRPr="00DE3F1C">
          <w:rPr>
            <w:rStyle w:val="Hyperlink"/>
            <w:sz w:val="20"/>
            <w:szCs w:val="20"/>
          </w:rPr>
          <w:t>Home - Team Europe Initiative on Deforestation-free Value Chains</w:t>
        </w:r>
      </w:hyperlink>
    </w:p>
    <w:p w14:paraId="4EE648FF" w14:textId="77777777" w:rsidR="005E6493" w:rsidRPr="00DE3F1C" w:rsidRDefault="005E6493" w:rsidP="005E6493">
      <w:pPr>
        <w:rPr>
          <w:color w:val="002060"/>
          <w:sz w:val="20"/>
          <w:szCs w:val="20"/>
        </w:rPr>
      </w:pPr>
      <w:r w:rsidRPr="00DE3F1C">
        <w:rPr>
          <w:color w:val="002060"/>
          <w:sz w:val="20"/>
          <w:szCs w:val="20"/>
        </w:rPr>
        <w:t> </w:t>
      </w:r>
    </w:p>
    <w:p w14:paraId="36AE322A" w14:textId="77777777" w:rsidR="00DE3F1C" w:rsidRDefault="00DE3F1C" w:rsidP="005E6493">
      <w:pPr>
        <w:rPr>
          <w:color w:val="002060"/>
          <w:sz w:val="20"/>
          <w:szCs w:val="20"/>
          <w:lang w:val="pt-BR"/>
        </w:rPr>
      </w:pPr>
    </w:p>
    <w:p w14:paraId="3FB789D8" w14:textId="1EBC3E49" w:rsidR="005E6493" w:rsidRPr="00C71E8F" w:rsidRDefault="005E6493" w:rsidP="005E6493">
      <w:pPr>
        <w:rPr>
          <w:b/>
          <w:bCs/>
          <w:color w:val="002060"/>
          <w:sz w:val="20"/>
          <w:szCs w:val="20"/>
          <w:lang w:val="es-SV"/>
        </w:rPr>
      </w:pPr>
      <w:r w:rsidRPr="00C71E8F">
        <w:rPr>
          <w:b/>
          <w:bCs/>
          <w:color w:val="002060"/>
          <w:sz w:val="28"/>
          <w:szCs w:val="28"/>
          <w:lang w:val="es-SV"/>
        </w:rPr>
        <w:t>Actualización EUDR – Puntos centrales</w:t>
      </w:r>
      <w:r w:rsidRPr="00C71E8F">
        <w:rPr>
          <w:b/>
          <w:bCs/>
          <w:color w:val="002060"/>
          <w:sz w:val="20"/>
          <w:szCs w:val="20"/>
          <w:lang w:val="es-SV"/>
        </w:rPr>
        <w:t xml:space="preserve"> </w:t>
      </w:r>
    </w:p>
    <w:p w14:paraId="7F3005D9" w14:textId="50E5DFAD" w:rsidR="005E6493" w:rsidRPr="005E6493" w:rsidRDefault="00C71E8F" w:rsidP="00C71E8F">
      <w:pPr>
        <w:pStyle w:val="ListParagraph"/>
        <w:numPr>
          <w:ilvl w:val="0"/>
          <w:numId w:val="3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C71E8F">
        <w:rPr>
          <w:b/>
          <w:bCs/>
          <w:color w:val="002060"/>
          <w:sz w:val="20"/>
          <w:szCs w:val="20"/>
          <w:lang w:val="es-SV"/>
        </w:rPr>
        <w:t>Maria Madrid, Oficial de Relaciones Internacionales para América Latina,</w:t>
      </w:r>
      <w:r w:rsidR="005E6493" w:rsidRPr="005E6493">
        <w:rPr>
          <w:color w:val="002060"/>
          <w:sz w:val="20"/>
          <w:szCs w:val="20"/>
          <w:lang w:val="es-SV"/>
        </w:rPr>
        <w:t xml:space="preserve"> presentó un paquete de actualización del EUDR (sin modificar el reglamento base) con el objetivo de facilitar la implementación, aumentar la seguridad jurídica y reducir cargas administrativas. Se estima una reducción de aproximadamente 75 % en costos administrativos para empresas. </w:t>
      </w:r>
    </w:p>
    <w:p w14:paraId="683018F5" w14:textId="35FC6CEB" w:rsidR="00C71E8F" w:rsidRPr="00DE3F1C" w:rsidRDefault="005E6493" w:rsidP="00DE3F1C">
      <w:pPr>
        <w:pStyle w:val="ListParagraph"/>
        <w:numPr>
          <w:ilvl w:val="0"/>
          <w:numId w:val="3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 xml:space="preserve">Se introdujeron aclaraciones sobre roles y responsabilidades de distintos actores (micro y </w:t>
      </w:r>
      <w:r w:rsidR="005D0607" w:rsidRPr="00CF3EF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D1B95" wp14:editId="43E48C7A">
                <wp:simplePos x="0" y="0"/>
                <wp:positionH relativeFrom="column">
                  <wp:posOffset>3975100</wp:posOffset>
                </wp:positionH>
                <wp:positionV relativeFrom="paragraph">
                  <wp:posOffset>-353060</wp:posOffset>
                </wp:positionV>
                <wp:extent cx="3771521" cy="289696"/>
                <wp:effectExtent l="0" t="0" r="0" b="0"/>
                <wp:wrapNone/>
                <wp:docPr id="9865145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521" cy="289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6C35FB" w14:textId="77777777" w:rsidR="005D0607" w:rsidRPr="00766EE9" w:rsidRDefault="005D0607" w:rsidP="005D0607">
                            <w:pPr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766EE9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Comunidad de </w:t>
                            </w:r>
                            <w:proofErr w:type="spellStart"/>
                            <w:r w:rsidRPr="00766EE9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Aprendizaje</w:t>
                            </w:r>
                            <w:proofErr w:type="spellEnd"/>
                            <w:r w:rsidRPr="00766EE9">
                              <w:rPr>
                                <w:b/>
                                <w:color w:val="FFCC03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D1B95" id="_x0000_s1027" style="position:absolute;left:0;text-align:left;margin-left:313pt;margin-top:-27.8pt;width:296.95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" filled="f" stroked="f">
                <v:textbox inset="0,0,0,0">
                  <w:txbxContent>
                    <w:p w14:paraId="5A6C35FB" w14:textId="77777777" w:rsidR="005D0607" w:rsidRPr="00766EE9" w:rsidRDefault="005D0607" w:rsidP="005D0607">
                      <w:pPr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766EE9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Comunidad de </w:t>
                      </w:r>
                      <w:proofErr w:type="spellStart"/>
                      <w:r w:rsidRPr="00766EE9">
                        <w:rPr>
                          <w:b/>
                          <w:color w:val="FFFFFF"/>
                          <w:sz w:val="24"/>
                          <w:szCs w:val="24"/>
                        </w:rPr>
                        <w:t>Aprendizaje</w:t>
                      </w:r>
                      <w:proofErr w:type="spellEnd"/>
                      <w:r w:rsidRPr="00766EE9">
                        <w:rPr>
                          <w:b/>
                          <w:color w:val="FFCC03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5E6493">
        <w:rPr>
          <w:color w:val="002060"/>
          <w:sz w:val="20"/>
          <w:szCs w:val="20"/>
          <w:lang w:val="es-SV"/>
        </w:rPr>
        <w:t xml:space="preserve">pequeñas empresas, operadores, cooperativas, comercio electrónico), así como sobre casos específicos como reimportaciones, operadores con doble función y declaraciones simplificadas. </w:t>
      </w:r>
    </w:p>
    <w:p w14:paraId="44D1EA70" w14:textId="77777777" w:rsidR="005E6493" w:rsidRPr="005E6493" w:rsidRDefault="005E6493" w:rsidP="00C71E8F">
      <w:pPr>
        <w:pStyle w:val="ListParagraph"/>
        <w:numPr>
          <w:ilvl w:val="0"/>
          <w:numId w:val="3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 xml:space="preserve">Se fortalecieron las orientaciones sobre legalidad y evaluación de riesgos, indicando que el nivel de información requerida dependerá del riesgo identificado. Como apoyo se utilizarán herramientas como benchmarking por país, indicadores de gobernanza y repositorios de legislación nacional. </w:t>
      </w:r>
    </w:p>
    <w:p w14:paraId="441B9D55" w14:textId="77777777" w:rsidR="005E6493" w:rsidRPr="005E6493" w:rsidRDefault="005E6493" w:rsidP="00C71E8F">
      <w:pPr>
        <w:pStyle w:val="ListParagraph"/>
        <w:numPr>
          <w:ilvl w:val="0"/>
          <w:numId w:val="3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>El sistema de información EUDR incorporará nuevas funcionalidades (roles de usuario, integración API, declaraciones simplificadas y materiales técnicos), mientras que también se propusieron ajustes al alcance de productos para mejorar la coherencia de las cadenas de suministro y maximizar beneficios ambientales.</w:t>
      </w:r>
    </w:p>
    <w:p w14:paraId="726FAD21" w14:textId="77777777" w:rsidR="005E6493" w:rsidRPr="005E6493" w:rsidRDefault="005E6493" w:rsidP="00C71E8F">
      <w:pPr>
        <w:numPr>
          <w:ilvl w:val="0"/>
          <w:numId w:val="1"/>
        </w:numPr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 xml:space="preserve">Se presentó el paquete de actualización adoptado el 4 de mayo, sin modificar el texto base del reglamento EUDR. </w:t>
      </w:r>
    </w:p>
    <w:p w14:paraId="4151B05E" w14:textId="77777777" w:rsidR="005E6493" w:rsidRPr="005E6493" w:rsidRDefault="005E6493" w:rsidP="00C71E8F">
      <w:pPr>
        <w:numPr>
          <w:ilvl w:val="0"/>
          <w:numId w:val="2"/>
        </w:numPr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 xml:space="preserve">Se abrió un espacio para la participación pública, recibiéndose comentarios hasta el 1 de junio mediante </w:t>
      </w:r>
      <w:hyperlink r:id="rId8" w:history="1">
        <w:r w:rsidRPr="005E6493">
          <w:rPr>
            <w:rStyle w:val="Hyperlink"/>
            <w:sz w:val="20"/>
            <w:szCs w:val="20"/>
            <w:lang w:val="es-SV"/>
          </w:rPr>
          <w:t>Have Your Say</w:t>
        </w:r>
      </w:hyperlink>
      <w:r w:rsidRPr="005E6493">
        <w:rPr>
          <w:color w:val="002060"/>
          <w:sz w:val="20"/>
          <w:szCs w:val="20"/>
          <w:lang w:val="es-SV"/>
        </w:rPr>
        <w:t>.</w:t>
      </w:r>
    </w:p>
    <w:p w14:paraId="75E7D6D8" w14:textId="77777777" w:rsidR="005E6493" w:rsidRPr="005E6493" w:rsidRDefault="005E6493" w:rsidP="005E6493">
      <w:pPr>
        <w:rPr>
          <w:color w:val="002060"/>
          <w:sz w:val="20"/>
          <w:szCs w:val="20"/>
          <w:lang w:val="es-SV"/>
        </w:rPr>
      </w:pPr>
    </w:p>
    <w:p w14:paraId="1A75BCDC" w14:textId="4406EFE7" w:rsidR="005E6493" w:rsidRPr="00C71E8F" w:rsidRDefault="005E6493" w:rsidP="00C71E8F">
      <w:pPr>
        <w:jc w:val="both"/>
        <w:rPr>
          <w:b/>
          <w:bCs/>
          <w:color w:val="002060"/>
          <w:sz w:val="28"/>
          <w:szCs w:val="28"/>
          <w:lang w:val="es-SV"/>
        </w:rPr>
      </w:pPr>
      <w:r w:rsidRPr="00C71E8F">
        <w:rPr>
          <w:b/>
          <w:bCs/>
          <w:color w:val="002060"/>
          <w:sz w:val="28"/>
          <w:szCs w:val="28"/>
          <w:lang w:val="es-SV"/>
        </w:rPr>
        <w:t>Experiencia Ecuador (SAFE Ecuador) – Resumen breve de elementos centrales</w:t>
      </w:r>
    </w:p>
    <w:p w14:paraId="31DB0ACE" w14:textId="45335CF8" w:rsidR="005E6493" w:rsidRPr="005E6493" w:rsidRDefault="00C71E8F" w:rsidP="009E11C1">
      <w:pPr>
        <w:pStyle w:val="ListParagraph"/>
        <w:numPr>
          <w:ilvl w:val="0"/>
          <w:numId w:val="4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C71E8F">
        <w:rPr>
          <w:b/>
          <w:bCs/>
          <w:color w:val="002060"/>
          <w:sz w:val="20"/>
          <w:szCs w:val="20"/>
          <w:lang w:val="es-SV"/>
        </w:rPr>
        <w:t>Diana Armendrariz, Asesora Técnica GIZ/SAFE</w:t>
      </w:r>
      <w:r>
        <w:rPr>
          <w:b/>
          <w:bCs/>
          <w:color w:val="002060"/>
          <w:sz w:val="20"/>
          <w:szCs w:val="20"/>
          <w:lang w:val="es-SV"/>
        </w:rPr>
        <w:t>,</w:t>
      </w:r>
      <w:r w:rsidRPr="00C71E8F">
        <w:rPr>
          <w:b/>
          <w:bCs/>
          <w:color w:val="002060"/>
          <w:sz w:val="20"/>
          <w:szCs w:val="20"/>
          <w:lang w:val="es-SV"/>
        </w:rPr>
        <w:t xml:space="preserve"> </w:t>
      </w:r>
      <w:r>
        <w:rPr>
          <w:color w:val="002060"/>
          <w:sz w:val="20"/>
          <w:szCs w:val="20"/>
          <w:lang w:val="es-SV"/>
        </w:rPr>
        <w:t>comparte l</w:t>
      </w:r>
      <w:r w:rsidR="005E6493" w:rsidRPr="005E6493">
        <w:rPr>
          <w:color w:val="002060"/>
          <w:sz w:val="20"/>
          <w:szCs w:val="20"/>
          <w:lang w:val="es-SV"/>
        </w:rPr>
        <w:t xml:space="preserve">a experiencia de Ecuador (SAFE Ecuador) </w:t>
      </w:r>
      <w:r>
        <w:rPr>
          <w:color w:val="002060"/>
          <w:sz w:val="20"/>
          <w:szCs w:val="20"/>
          <w:lang w:val="es-SV"/>
        </w:rPr>
        <w:t xml:space="preserve">en el </w:t>
      </w:r>
      <w:r w:rsidR="005E6493" w:rsidRPr="005E6493">
        <w:rPr>
          <w:color w:val="002060"/>
          <w:sz w:val="20"/>
          <w:szCs w:val="20"/>
          <w:lang w:val="es-SV"/>
        </w:rPr>
        <w:t>apoy</w:t>
      </w:r>
      <w:r>
        <w:rPr>
          <w:color w:val="002060"/>
          <w:sz w:val="20"/>
          <w:szCs w:val="20"/>
          <w:lang w:val="es-SV"/>
        </w:rPr>
        <w:t>o</w:t>
      </w:r>
      <w:r w:rsidR="005E6493" w:rsidRPr="005E6493">
        <w:rPr>
          <w:color w:val="002060"/>
          <w:sz w:val="20"/>
          <w:szCs w:val="20"/>
          <w:lang w:val="es-SV"/>
        </w:rPr>
        <w:t xml:space="preserve"> a pequeños productores de café y cacao en su preparación para el EUDR, identificando desafíos clave como conocimiento limitado sobre la regulación, debilidades en trazabilidad y georreferenciación, gestión documental insuficiente y capacidades organizativas reducidas. </w:t>
      </w:r>
    </w:p>
    <w:p w14:paraId="3B3A543B" w14:textId="77777777" w:rsidR="005E6493" w:rsidRPr="005E6493" w:rsidRDefault="005E6493" w:rsidP="009E11C1">
      <w:pPr>
        <w:pStyle w:val="ListParagraph"/>
        <w:numPr>
          <w:ilvl w:val="0"/>
          <w:numId w:val="4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>El reto principal no era solo informar, sino convertir la norma en herramientas prácticas.</w:t>
      </w:r>
    </w:p>
    <w:p w14:paraId="47BE3BA4" w14:textId="77777777" w:rsidR="005E6493" w:rsidRPr="005E6493" w:rsidRDefault="005E6493" w:rsidP="009E11C1">
      <w:pPr>
        <w:pStyle w:val="ListParagraph"/>
        <w:numPr>
          <w:ilvl w:val="0"/>
          <w:numId w:val="4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 xml:space="preserve">La estrategia utilizada combinó capacitación y un enfoque de formación de formadores, junto con fortalecimiento organizacional, evaluación y mitigación de riesgos, y acompañamiento en temas de legalidad y sostenibilidad. </w:t>
      </w:r>
    </w:p>
    <w:p w14:paraId="6802E51B" w14:textId="77777777" w:rsidR="005E6493" w:rsidRPr="005E6493" w:rsidRDefault="005E6493" w:rsidP="009E11C1">
      <w:pPr>
        <w:pStyle w:val="ListParagraph"/>
        <w:numPr>
          <w:ilvl w:val="0"/>
          <w:numId w:val="4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 xml:space="preserve">Se fortalecieron capacidades técnicas mediante la formación de jóvenes y mujeres en levantamiento de polígonos, sistemas de información geográfica (SIG), monitoreo de deforestación y uso gradual de herramientas digitales de trazabilidad. </w:t>
      </w:r>
    </w:p>
    <w:p w14:paraId="521C378A" w14:textId="77777777" w:rsidR="005E6493" w:rsidRPr="005E6493" w:rsidRDefault="005E6493" w:rsidP="009E11C1">
      <w:pPr>
        <w:pStyle w:val="ListParagraph"/>
        <w:numPr>
          <w:ilvl w:val="0"/>
          <w:numId w:val="4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>Como resultado se desarrolló una caja de herramientas práctica y un curso autoguiado, logrando fortalecer capacidades locales, mejorar la gestión de datos y reducir la dependencia de asistencia técnica externa para avanzar hacia el cumplimiento del EUDR y el acceso a mercados más exigentes (</w:t>
      </w:r>
      <w:hyperlink r:id="rId9" w:history="1">
        <w:r w:rsidRPr="005E6493">
          <w:rPr>
            <w:rStyle w:val="Hyperlink"/>
            <w:sz w:val="20"/>
            <w:szCs w:val="20"/>
            <w:lang w:val="es-SV"/>
          </w:rPr>
          <w:t>Downloads - Team Europe Initiative on Deforestation-free Value Chains</w:t>
        </w:r>
      </w:hyperlink>
      <w:r w:rsidRPr="005E6493">
        <w:rPr>
          <w:lang w:val="es-SV"/>
        </w:rPr>
        <w:t>).</w:t>
      </w:r>
    </w:p>
    <w:p w14:paraId="1F8B9734" w14:textId="0FBD3126" w:rsidR="005E6493" w:rsidRPr="005E6493" w:rsidRDefault="005E6493" w:rsidP="009E11C1">
      <w:pPr>
        <w:pStyle w:val="ListParagraph"/>
        <w:numPr>
          <w:ilvl w:val="0"/>
          <w:numId w:val="4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>Como uno de los valores añadidos para los beneficiarios se destaca el haber reducido la dependencia de asistencia técnica permanente, m</w:t>
      </w:r>
      <w:r w:rsidR="009E11C1">
        <w:rPr>
          <w:color w:val="002060"/>
          <w:sz w:val="20"/>
          <w:szCs w:val="20"/>
          <w:lang w:val="es-SV"/>
        </w:rPr>
        <w:t>á</w:t>
      </w:r>
      <w:r w:rsidRPr="005E6493">
        <w:rPr>
          <w:color w:val="002060"/>
          <w:sz w:val="20"/>
          <w:szCs w:val="20"/>
          <w:lang w:val="es-SV"/>
        </w:rPr>
        <w:t>s organizaciones acceden a conocimiento práctico, se facilita la adaptación de herramientas a diversos contextos y se promueve la preparación de las organizaciones según su punto de partida.</w:t>
      </w:r>
    </w:p>
    <w:p w14:paraId="49347936" w14:textId="77777777" w:rsidR="005E6493" w:rsidRPr="005E6493" w:rsidRDefault="005E6493" w:rsidP="005E6493">
      <w:pPr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> </w:t>
      </w:r>
    </w:p>
    <w:p w14:paraId="5516C926" w14:textId="77777777" w:rsidR="00DE3F1C" w:rsidRDefault="00DE3F1C" w:rsidP="005E6493">
      <w:pPr>
        <w:rPr>
          <w:color w:val="002060"/>
          <w:sz w:val="20"/>
          <w:szCs w:val="20"/>
          <w:lang w:val="es-SV"/>
        </w:rPr>
      </w:pPr>
    </w:p>
    <w:p w14:paraId="342F909D" w14:textId="1E44EBCD" w:rsidR="005E6493" w:rsidRPr="00AB77DC" w:rsidRDefault="005E6493" w:rsidP="005E6493">
      <w:pPr>
        <w:rPr>
          <w:b/>
          <w:bCs/>
          <w:color w:val="002060"/>
          <w:sz w:val="28"/>
          <w:szCs w:val="28"/>
          <w:lang w:val="es-SV"/>
        </w:rPr>
      </w:pPr>
      <w:r w:rsidRPr="00AB77DC">
        <w:rPr>
          <w:b/>
          <w:bCs/>
          <w:color w:val="002060"/>
          <w:sz w:val="28"/>
          <w:szCs w:val="28"/>
          <w:lang w:val="es-SV"/>
        </w:rPr>
        <w:t>Experiencia Perú (SAFE / Digital Coffee Future) – Resumen consolidado de elementos centrales</w:t>
      </w:r>
    </w:p>
    <w:p w14:paraId="1FCBA244" w14:textId="27A3EF33" w:rsidR="005E6493" w:rsidRPr="005E6493" w:rsidRDefault="00AB77DC" w:rsidP="00AB77DC">
      <w:pPr>
        <w:pStyle w:val="ListParagraph"/>
        <w:numPr>
          <w:ilvl w:val="0"/>
          <w:numId w:val="5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AB77DC">
        <w:rPr>
          <w:b/>
          <w:bCs/>
          <w:color w:val="002060"/>
          <w:sz w:val="20"/>
          <w:szCs w:val="20"/>
          <w:lang w:val="es-SV"/>
        </w:rPr>
        <w:t>Hubert Peri, Consultor de Digital Coffee Future,</w:t>
      </w:r>
      <w:r>
        <w:rPr>
          <w:color w:val="002060"/>
          <w:sz w:val="20"/>
          <w:szCs w:val="20"/>
          <w:lang w:val="es-SV"/>
        </w:rPr>
        <w:t xml:space="preserve"> comparte l</w:t>
      </w:r>
      <w:r w:rsidR="005E6493" w:rsidRPr="005E6493">
        <w:rPr>
          <w:color w:val="002060"/>
          <w:sz w:val="20"/>
          <w:szCs w:val="20"/>
          <w:lang w:val="es-SV"/>
        </w:rPr>
        <w:t xml:space="preserve">a experiencia en Perú (SAFE / Digital Coffee Future), trabajando en 5 organizaciones, con más de 3.000 productores y alrededor de 47.000 hectáreas, mostró que el EUDR puede actuar como un impulsor de </w:t>
      </w:r>
      <w:r w:rsidR="005D0607" w:rsidRPr="00CF3EF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0D7BAE" wp14:editId="4F924C67">
                <wp:simplePos x="0" y="0"/>
                <wp:positionH relativeFrom="column">
                  <wp:posOffset>3887470</wp:posOffset>
                </wp:positionH>
                <wp:positionV relativeFrom="paragraph">
                  <wp:posOffset>-352425</wp:posOffset>
                </wp:positionV>
                <wp:extent cx="3771521" cy="289696"/>
                <wp:effectExtent l="0" t="0" r="0" b="0"/>
                <wp:wrapNone/>
                <wp:docPr id="8196165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521" cy="289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C144D6" w14:textId="77777777" w:rsidR="005D0607" w:rsidRPr="00766EE9" w:rsidRDefault="005D0607" w:rsidP="005D0607">
                            <w:pPr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766EE9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Comunidad de </w:t>
                            </w:r>
                            <w:proofErr w:type="spellStart"/>
                            <w:r w:rsidRPr="00766EE9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Aprendizaje</w:t>
                            </w:r>
                            <w:proofErr w:type="spellEnd"/>
                            <w:r w:rsidRPr="00766EE9">
                              <w:rPr>
                                <w:b/>
                                <w:color w:val="FFCC03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D7BAE" id="_x0000_s1028" style="position:absolute;left:0;text-align:left;margin-left:306.1pt;margin-top:-27.75pt;width:296.95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" filled="f" stroked="f">
                <v:textbox inset="0,0,0,0">
                  <w:txbxContent>
                    <w:p w14:paraId="25C144D6" w14:textId="77777777" w:rsidR="005D0607" w:rsidRPr="00766EE9" w:rsidRDefault="005D0607" w:rsidP="005D0607">
                      <w:pPr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766EE9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Comunidad de </w:t>
                      </w:r>
                      <w:proofErr w:type="spellStart"/>
                      <w:r w:rsidRPr="00766EE9">
                        <w:rPr>
                          <w:b/>
                          <w:color w:val="FFFFFF"/>
                          <w:sz w:val="24"/>
                          <w:szCs w:val="24"/>
                        </w:rPr>
                        <w:t>Aprendizaje</w:t>
                      </w:r>
                      <w:proofErr w:type="spellEnd"/>
                      <w:r w:rsidRPr="00766EE9">
                        <w:rPr>
                          <w:b/>
                          <w:color w:val="FFCC03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5E6493" w:rsidRPr="005E6493">
        <w:rPr>
          <w:color w:val="002060"/>
          <w:sz w:val="20"/>
          <w:szCs w:val="20"/>
          <w:lang w:val="es-SV"/>
        </w:rPr>
        <w:t xml:space="preserve">transformación digital y organizacional, más allá de ser únicamente un requisito de cumplimiento. </w:t>
      </w:r>
    </w:p>
    <w:p w14:paraId="621CCC43" w14:textId="7A2F6678" w:rsidR="005E6493" w:rsidRPr="005E6493" w:rsidRDefault="005E6493" w:rsidP="00AB77DC">
      <w:pPr>
        <w:pStyle w:val="ListParagraph"/>
        <w:numPr>
          <w:ilvl w:val="0"/>
          <w:numId w:val="5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>El enfoque se centró en fortalecer habilidades para la gestión de información y análisis con inteligencia de negocios, aprovechando los datos disponibles para cumplir los requerimientos del EUDR.</w:t>
      </w:r>
    </w:p>
    <w:p w14:paraId="05D52413" w14:textId="6B4A72A0" w:rsidR="005E6493" w:rsidRPr="005E6493" w:rsidRDefault="005E6493" w:rsidP="00AB77DC">
      <w:pPr>
        <w:pStyle w:val="ListParagraph"/>
        <w:numPr>
          <w:ilvl w:val="0"/>
          <w:numId w:val="5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 xml:space="preserve">Se trabajó en procesos organizacionales y cadenas de suministro mediante herramientas de gestión de riesgos, debida diligencia y digitalización adaptada a las necesidades de las cooperativas. </w:t>
      </w:r>
    </w:p>
    <w:p w14:paraId="5CD5986F" w14:textId="3FA492E3" w:rsidR="005E6493" w:rsidRPr="005E6493" w:rsidRDefault="005E6493" w:rsidP="00AB77DC">
      <w:pPr>
        <w:pStyle w:val="ListParagraph"/>
        <w:numPr>
          <w:ilvl w:val="0"/>
          <w:numId w:val="5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 xml:space="preserve">Se integraron diferentes fuentes de información —como datos de productores, georreferenciación, monitoreo satelital, trazabilidad y producción— para convertir datos dispersos en indicadores y herramientas útiles para la toma de decisiones. </w:t>
      </w:r>
    </w:p>
    <w:p w14:paraId="0945C89F" w14:textId="77777777" w:rsidR="005E6493" w:rsidRPr="005E6493" w:rsidRDefault="005E6493" w:rsidP="00AB77DC">
      <w:pPr>
        <w:pStyle w:val="ListParagraph"/>
        <w:numPr>
          <w:ilvl w:val="0"/>
          <w:numId w:val="5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>Como resultado, el EUDR pasó de percibirse como una carga administrativa a una herramienta estratégica, permitiendo mejorar la gestión de riesgos, la coordinación interna, la planificación comercial y la competitividad de las organizaciones. </w:t>
      </w:r>
    </w:p>
    <w:p w14:paraId="552E3D9F" w14:textId="77777777" w:rsidR="005E6493" w:rsidRPr="005E6493" w:rsidRDefault="005E6493" w:rsidP="005E6493">
      <w:pPr>
        <w:rPr>
          <w:color w:val="002060"/>
          <w:sz w:val="20"/>
          <w:szCs w:val="20"/>
          <w:lang w:val="es-SV"/>
        </w:rPr>
      </w:pPr>
    </w:p>
    <w:p w14:paraId="69FEF000" w14:textId="77777777" w:rsidR="005E6493" w:rsidRPr="005E6493" w:rsidRDefault="005E6493" w:rsidP="005E6493">
      <w:pPr>
        <w:rPr>
          <w:color w:val="002060"/>
          <w:sz w:val="20"/>
          <w:szCs w:val="20"/>
          <w:lang w:val="es-SV"/>
        </w:rPr>
      </w:pPr>
    </w:p>
    <w:p w14:paraId="597EF6B9" w14:textId="742AD039" w:rsidR="005E6493" w:rsidRPr="00AB77DC" w:rsidRDefault="005E6493" w:rsidP="00AB77DC">
      <w:pPr>
        <w:rPr>
          <w:b/>
          <w:bCs/>
          <w:color w:val="002060"/>
          <w:sz w:val="20"/>
          <w:szCs w:val="20"/>
          <w:lang w:val="es-SV"/>
        </w:rPr>
      </w:pPr>
      <w:r w:rsidRPr="00AB77DC">
        <w:rPr>
          <w:b/>
          <w:bCs/>
          <w:color w:val="002060"/>
          <w:sz w:val="28"/>
          <w:szCs w:val="28"/>
          <w:lang w:val="es-SV"/>
        </w:rPr>
        <w:t xml:space="preserve">De la regulación a la práctica: Estudios de caso sobre </w:t>
      </w:r>
      <w:r w:rsidR="00AB77DC">
        <w:rPr>
          <w:b/>
          <w:bCs/>
          <w:color w:val="002060"/>
          <w:sz w:val="28"/>
          <w:szCs w:val="28"/>
          <w:lang w:val="es-SV"/>
        </w:rPr>
        <w:t xml:space="preserve">la </w:t>
      </w:r>
      <w:r w:rsidRPr="00AB77DC">
        <w:rPr>
          <w:b/>
          <w:bCs/>
          <w:color w:val="002060"/>
          <w:sz w:val="28"/>
          <w:szCs w:val="28"/>
          <w:lang w:val="es-SV"/>
        </w:rPr>
        <w:t>implementación del cumplimiento EUDR en el Sector Cafetalero</w:t>
      </w:r>
    </w:p>
    <w:p w14:paraId="76CBF158" w14:textId="12E58A3B" w:rsidR="005E6493" w:rsidRPr="005E6493" w:rsidRDefault="00AB77DC" w:rsidP="00AB77DC">
      <w:pPr>
        <w:pStyle w:val="ListParagraph"/>
        <w:numPr>
          <w:ilvl w:val="0"/>
          <w:numId w:val="6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AB77DC">
        <w:rPr>
          <w:b/>
          <w:bCs/>
          <w:color w:val="002060"/>
          <w:sz w:val="20"/>
          <w:szCs w:val="20"/>
          <w:lang w:val="es-SV"/>
        </w:rPr>
        <w:t>Sylvia Calfat, Gerente de Proyectos Sr.,</w:t>
      </w:r>
      <w:r>
        <w:rPr>
          <w:color w:val="002060"/>
          <w:sz w:val="20"/>
          <w:szCs w:val="20"/>
          <w:lang w:val="es-SV"/>
        </w:rPr>
        <w:t xml:space="preserve"> presentó l</w:t>
      </w:r>
      <w:r w:rsidR="005E6493" w:rsidRPr="005E6493">
        <w:rPr>
          <w:color w:val="002060"/>
          <w:sz w:val="20"/>
          <w:szCs w:val="20"/>
          <w:lang w:val="es-SV"/>
        </w:rPr>
        <w:t xml:space="preserve">a investigación de COSA financiada a través de la GIZ/ UE, basada en cinco casos prácticos, analizó desafíos clave para la implementación del EUDR en temas como trazabilidad, legalidad, gobernanza de datos, manejo de información e interoperabilidad. </w:t>
      </w:r>
    </w:p>
    <w:p w14:paraId="08F6AA85" w14:textId="77777777" w:rsidR="005E6493" w:rsidRPr="005E6493" w:rsidRDefault="005E6493" w:rsidP="00AB77DC">
      <w:pPr>
        <w:pStyle w:val="ListParagraph"/>
        <w:numPr>
          <w:ilvl w:val="0"/>
          <w:numId w:val="6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 xml:space="preserve">Un hallazgo central fue que el EUDR ha evolucionado de un desafío técnico centrado en trazabilidad hacia un enfoque más amplio de debida diligencia a lo largo de toda la cadena de suministro; las herramientas digitales son necesarias, pero por sí solas no son suficientes. </w:t>
      </w:r>
    </w:p>
    <w:p w14:paraId="79F852DB" w14:textId="77777777" w:rsidR="005E6493" w:rsidRPr="005E6493" w:rsidRDefault="005E6493" w:rsidP="00AB77DC">
      <w:pPr>
        <w:pStyle w:val="ListParagraph"/>
        <w:numPr>
          <w:ilvl w:val="0"/>
          <w:numId w:val="6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 xml:space="preserve">Los estudios muestran que la confianza y el cumplimiento dependen de la combinación de herramientas digitales, controles operativos, gobernanza y coordinación entre actores. En temas como legalidad y gestión de mezclas persisten desafíos importantes y riesgos de exclusión para pequeños productores. </w:t>
      </w:r>
    </w:p>
    <w:p w14:paraId="468F91A5" w14:textId="77777777" w:rsidR="005E6493" w:rsidRPr="005E6493" w:rsidRDefault="005E6493" w:rsidP="00AB77DC">
      <w:pPr>
        <w:pStyle w:val="ListParagraph"/>
        <w:numPr>
          <w:ilvl w:val="0"/>
          <w:numId w:val="6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>Se concluyó que no existe una solución única para cumplir con EUDR; la interoperabilidad y la integración de diferentes herramientas y sistemas son más importantes que el uso de una sola plataforma.</w:t>
      </w:r>
    </w:p>
    <w:p w14:paraId="0CD34AF9" w14:textId="77777777" w:rsidR="005E6493" w:rsidRPr="005E6493" w:rsidRDefault="005E6493" w:rsidP="00AB77DC">
      <w:pPr>
        <w:pStyle w:val="ListParagraph"/>
        <w:numPr>
          <w:ilvl w:val="0"/>
          <w:numId w:val="6"/>
        </w:numPr>
        <w:spacing w:line="240" w:lineRule="exact"/>
        <w:contextualSpacing w:val="0"/>
        <w:jc w:val="both"/>
        <w:rPr>
          <w:color w:val="002060"/>
          <w:sz w:val="20"/>
          <w:szCs w:val="20"/>
          <w:lang w:val="es-SV"/>
        </w:rPr>
      </w:pPr>
      <w:r w:rsidRPr="005E6493">
        <w:rPr>
          <w:color w:val="002060"/>
          <w:sz w:val="20"/>
          <w:szCs w:val="20"/>
          <w:lang w:val="es-SV"/>
        </w:rPr>
        <w:t>Los aprendizajes transversales de estos casos muestran que la trazabilidad es fundamental, pero requiere de controles; la credibilidad es clave y se construye mediante controles; la gobernanza y la confianza son tan importantes como la tecnología; la interoperabilidad es clave para la escalabilidad y la implementación de medidas sigue siendo desigual entre actores y regiones.</w:t>
      </w:r>
    </w:p>
    <w:p w14:paraId="31265309" w14:textId="35B54892" w:rsidR="005E6493" w:rsidRPr="005E6493" w:rsidRDefault="005E6493" w:rsidP="005E6493">
      <w:pPr>
        <w:rPr>
          <w:color w:val="002060"/>
          <w:sz w:val="20"/>
          <w:szCs w:val="20"/>
          <w:lang w:val="es-SV"/>
        </w:rPr>
      </w:pPr>
    </w:p>
    <w:p w14:paraId="00FCCA5F" w14:textId="7CEC453F" w:rsidR="0036687A" w:rsidRPr="0036687A" w:rsidRDefault="00AB77DC" w:rsidP="0036687A">
      <w:pPr>
        <w:ind w:left="360"/>
        <w:rPr>
          <w:b/>
          <w:bCs/>
          <w:color w:val="002060"/>
          <w:sz w:val="28"/>
          <w:szCs w:val="28"/>
          <w:lang w:val="es-SV"/>
        </w:rPr>
      </w:pPr>
      <w:r w:rsidRPr="0036687A">
        <w:rPr>
          <w:b/>
          <w:bCs/>
          <w:color w:val="002060"/>
          <w:sz w:val="28"/>
          <w:szCs w:val="28"/>
          <w:lang w:val="es-SV"/>
        </w:rPr>
        <w:t>Espacio de preguntas y respuestas</w:t>
      </w:r>
    </w:p>
    <w:p w14:paraId="49B4BC9B" w14:textId="716ADAD0" w:rsidR="0036687A" w:rsidRPr="0036687A" w:rsidRDefault="00AB77DC" w:rsidP="0036687A">
      <w:pPr>
        <w:pStyle w:val="ListParagraph"/>
        <w:numPr>
          <w:ilvl w:val="0"/>
          <w:numId w:val="10"/>
        </w:numPr>
        <w:spacing w:line="240" w:lineRule="exact"/>
        <w:jc w:val="both"/>
        <w:rPr>
          <w:b/>
          <w:bCs/>
          <w:color w:val="002060"/>
          <w:sz w:val="28"/>
          <w:szCs w:val="28"/>
          <w:lang w:val="es-SV"/>
        </w:rPr>
      </w:pPr>
      <w:r w:rsidRPr="0036687A">
        <w:rPr>
          <w:color w:val="002060"/>
          <w:sz w:val="20"/>
          <w:szCs w:val="20"/>
          <w:lang w:val="es-SV"/>
        </w:rPr>
        <w:t xml:space="preserve">Se continuó la sesión con un espacio de preguntas y </w:t>
      </w:r>
      <w:r w:rsidR="0036687A" w:rsidRPr="0036687A">
        <w:rPr>
          <w:color w:val="002060"/>
          <w:sz w:val="20"/>
          <w:szCs w:val="20"/>
          <w:lang w:val="es-SV"/>
        </w:rPr>
        <w:t>respuestas en donde s</w:t>
      </w:r>
      <w:r w:rsidR="0036687A" w:rsidRPr="0036687A">
        <w:rPr>
          <w:color w:val="002060"/>
          <w:sz w:val="20"/>
          <w:szCs w:val="20"/>
          <w:lang w:val="es-SV"/>
        </w:rPr>
        <w:t>e discuti</w:t>
      </w:r>
      <w:r w:rsidR="0036687A" w:rsidRPr="0036687A">
        <w:rPr>
          <w:color w:val="002060"/>
          <w:sz w:val="20"/>
          <w:szCs w:val="20"/>
          <w:lang w:val="es-SV"/>
        </w:rPr>
        <w:t>eron</w:t>
      </w:r>
      <w:r w:rsidR="0036687A" w:rsidRPr="0036687A">
        <w:rPr>
          <w:color w:val="002060"/>
          <w:sz w:val="20"/>
          <w:szCs w:val="20"/>
          <w:lang w:val="es-SV"/>
        </w:rPr>
        <w:t xml:space="preserve"> desafíos operativos para la implementación del EUDR, especialmente la futura identificación de productores vinculados a contratos comerciales y la necesidad de mejorar el intercambio y uso eficiente de datos. Además, se recordó que el primer operador que introduce productos al mercado europeo debe registrar la información en la plataforma oficial de la Unión Europea. </w:t>
      </w:r>
    </w:p>
    <w:p w14:paraId="35B4544F" w14:textId="77777777" w:rsidR="0036687A" w:rsidRPr="0036687A" w:rsidRDefault="0036687A" w:rsidP="0036687A">
      <w:pPr>
        <w:pStyle w:val="ListParagraph"/>
        <w:numPr>
          <w:ilvl w:val="0"/>
          <w:numId w:val="9"/>
        </w:numPr>
        <w:spacing w:line="240" w:lineRule="exact"/>
        <w:jc w:val="both"/>
        <w:rPr>
          <w:color w:val="002060"/>
          <w:sz w:val="20"/>
          <w:szCs w:val="20"/>
          <w:lang w:val="es-SV"/>
        </w:rPr>
      </w:pPr>
      <w:r w:rsidRPr="0036687A">
        <w:rPr>
          <w:color w:val="002060"/>
          <w:sz w:val="20"/>
          <w:szCs w:val="20"/>
          <w:lang w:val="es-SV"/>
        </w:rPr>
        <w:t xml:space="preserve">Se destacó que identificar la legislación aplicable es solo el primer paso; el principal reto posterior es evaluar riesgos a nivel de productores, organizaciones y cadenas de valor. </w:t>
      </w:r>
    </w:p>
    <w:p w14:paraId="621337E9" w14:textId="77777777" w:rsidR="0036687A" w:rsidRPr="0036687A" w:rsidRDefault="0036687A" w:rsidP="0036687A">
      <w:pPr>
        <w:pStyle w:val="ListParagraph"/>
        <w:numPr>
          <w:ilvl w:val="0"/>
          <w:numId w:val="9"/>
        </w:numPr>
        <w:spacing w:line="240" w:lineRule="exact"/>
        <w:jc w:val="both"/>
        <w:rPr>
          <w:color w:val="002060"/>
          <w:sz w:val="20"/>
          <w:szCs w:val="20"/>
          <w:lang w:val="es-SV"/>
        </w:rPr>
      </w:pPr>
      <w:r w:rsidRPr="0036687A">
        <w:rPr>
          <w:color w:val="002060"/>
          <w:sz w:val="20"/>
          <w:szCs w:val="20"/>
          <w:lang w:val="es-SV"/>
        </w:rPr>
        <w:lastRenderedPageBreak/>
        <w:t xml:space="preserve">La experiencia de Ecuador desarrolló herramientas prácticas para este proceso, incluyendo formularios de autoevaluación, matrices de riesgos, simulacros de debida diligencia y metodologías adaptables a diferentes contextos nacionales. </w:t>
      </w:r>
    </w:p>
    <w:p w14:paraId="1654BDFD" w14:textId="77777777" w:rsidR="0036687A" w:rsidRPr="0036687A" w:rsidRDefault="0036687A" w:rsidP="0036687A">
      <w:pPr>
        <w:pStyle w:val="ListParagraph"/>
        <w:numPr>
          <w:ilvl w:val="0"/>
          <w:numId w:val="9"/>
        </w:numPr>
        <w:spacing w:line="240" w:lineRule="exact"/>
        <w:jc w:val="both"/>
        <w:rPr>
          <w:color w:val="002060"/>
          <w:sz w:val="20"/>
          <w:szCs w:val="20"/>
          <w:lang w:val="es-SV"/>
        </w:rPr>
      </w:pPr>
      <w:r w:rsidRPr="0036687A">
        <w:rPr>
          <w:color w:val="002060"/>
          <w:sz w:val="20"/>
          <w:szCs w:val="20"/>
          <w:lang w:val="es-SV"/>
        </w:rPr>
        <w:t>Como aprendizaje principal se resaltó que aún no existe un formato único para evaluaciones de riesgo en campo y que la implementación requiere adaptación local y fortalecimiento de capacidades técnicas para convertir requisitos regulatorios en acciones prácticas en territorio.</w:t>
      </w:r>
    </w:p>
    <w:p w14:paraId="14538B1C" w14:textId="77777777" w:rsidR="0036687A" w:rsidRPr="0036687A" w:rsidRDefault="0036687A" w:rsidP="0036687A">
      <w:pPr>
        <w:pStyle w:val="ListParagraph"/>
        <w:spacing w:line="240" w:lineRule="exact"/>
        <w:contextualSpacing w:val="0"/>
        <w:jc w:val="both"/>
        <w:rPr>
          <w:b/>
          <w:bCs/>
          <w:color w:val="002060"/>
          <w:sz w:val="28"/>
          <w:szCs w:val="28"/>
          <w:lang w:val="es-SV"/>
        </w:rPr>
      </w:pPr>
    </w:p>
    <w:p w14:paraId="57187A11" w14:textId="77777777" w:rsidR="005D0607" w:rsidRDefault="005D0607">
      <w:pPr>
        <w:rPr>
          <w:b/>
          <w:bCs/>
          <w:color w:val="002060"/>
          <w:sz w:val="28"/>
          <w:szCs w:val="28"/>
          <w:lang w:val="es-SV"/>
        </w:rPr>
      </w:pPr>
    </w:p>
    <w:p w14:paraId="021F0E44" w14:textId="4B45FD6F" w:rsidR="00044B63" w:rsidRPr="00044B63" w:rsidRDefault="00044B63">
      <w:pPr>
        <w:rPr>
          <w:b/>
          <w:bCs/>
          <w:color w:val="002060"/>
          <w:sz w:val="28"/>
          <w:szCs w:val="28"/>
          <w:lang w:val="es-SV"/>
        </w:rPr>
      </w:pPr>
      <w:r w:rsidRPr="00044B63">
        <w:rPr>
          <w:b/>
          <w:bCs/>
          <w:color w:val="002060"/>
          <w:sz w:val="28"/>
          <w:szCs w:val="28"/>
          <w:lang w:val="es-SV"/>
        </w:rPr>
        <w:t xml:space="preserve">Palabras de cierre </w:t>
      </w:r>
    </w:p>
    <w:p w14:paraId="216EF0A5" w14:textId="4BCC40FA" w:rsidR="00044B63" w:rsidRPr="00044B63" w:rsidRDefault="00044B63" w:rsidP="00044B63">
      <w:pPr>
        <w:pStyle w:val="ListParagraph"/>
        <w:numPr>
          <w:ilvl w:val="0"/>
          <w:numId w:val="7"/>
        </w:numPr>
        <w:rPr>
          <w:color w:val="002060"/>
          <w:sz w:val="20"/>
          <w:szCs w:val="20"/>
          <w:lang w:val="es-SV"/>
        </w:rPr>
      </w:pPr>
      <w:r w:rsidRPr="00044B63">
        <w:rPr>
          <w:color w:val="002060"/>
          <w:sz w:val="20"/>
          <w:szCs w:val="20"/>
          <w:lang w:val="es-SV"/>
        </w:rPr>
        <w:t xml:space="preserve">Daniel Dubón, Secretario Ejecutivo de PROMECAFE, dio las palabras de cierre en donde agradece a todos los actores que hicieron posible la sesión, a los presentadores y a los asistentes de la segunda sesión de la Comunidad de Aprendizaje. </w:t>
      </w:r>
    </w:p>
    <w:p w14:paraId="06440E88" w14:textId="77777777" w:rsidR="00044B63" w:rsidRPr="00044B63" w:rsidRDefault="00044B63">
      <w:pPr>
        <w:rPr>
          <w:color w:val="002060"/>
          <w:sz w:val="20"/>
          <w:szCs w:val="20"/>
          <w:lang w:val="es-SV"/>
        </w:rPr>
      </w:pPr>
    </w:p>
    <w:p w14:paraId="7ACD7352" w14:textId="77777777" w:rsidR="00044B63" w:rsidRPr="005E6493" w:rsidRDefault="00044B63">
      <w:pPr>
        <w:rPr>
          <w:lang w:val="es-SV"/>
        </w:rPr>
      </w:pPr>
    </w:p>
    <w:sectPr w:rsidR="00044B63" w:rsidRPr="005E6493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A7B6D" w14:textId="77777777" w:rsidR="00746DD7" w:rsidRDefault="00746DD7" w:rsidP="00A26884">
      <w:r>
        <w:separator/>
      </w:r>
    </w:p>
  </w:endnote>
  <w:endnote w:type="continuationSeparator" w:id="0">
    <w:p w14:paraId="182885DA" w14:textId="77777777" w:rsidR="00746DD7" w:rsidRDefault="00746DD7" w:rsidP="00A26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A0BC" w14:textId="6185A8B2" w:rsidR="00744186" w:rsidRDefault="00744186">
    <w:pPr>
      <w:pStyle w:val="Footer"/>
    </w:pPr>
    <w:r w:rsidRPr="00CF3EFD">
      <w:rPr>
        <w:noProof/>
        <w:lang w:val="es-HN"/>
      </w:rPr>
      <w:drawing>
        <wp:anchor distT="0" distB="0" distL="114300" distR="114300" simplePos="0" relativeHeight="251663360" behindDoc="0" locked="0" layoutInCell="1" allowOverlap="1" wp14:anchorId="6CF7BD1E" wp14:editId="4CEFBABF">
          <wp:simplePos x="0" y="0"/>
          <wp:positionH relativeFrom="margin">
            <wp:posOffset>-93047</wp:posOffset>
          </wp:positionH>
          <wp:positionV relativeFrom="margin">
            <wp:posOffset>8305800</wp:posOffset>
          </wp:positionV>
          <wp:extent cx="6180455" cy="848995"/>
          <wp:effectExtent l="0" t="0" r="0" b="0"/>
          <wp:wrapSquare wrapText="bothSides"/>
          <wp:docPr id="965887476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887476" name="Picture 96588747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0455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3EFD">
      <w:rPr>
        <w:noProof/>
        <w:color w:val="000000" w:themeColor="text1"/>
        <w:sz w:val="20"/>
        <w:szCs w:val="20"/>
        <w:lang w:val="es-419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BB8678" wp14:editId="44B688E4">
              <wp:simplePos x="0" y="0"/>
              <wp:positionH relativeFrom="column">
                <wp:posOffset>-1226916</wp:posOffset>
              </wp:positionH>
              <wp:positionV relativeFrom="paragraph">
                <wp:posOffset>-289367</wp:posOffset>
              </wp:positionV>
              <wp:extent cx="8826500" cy="1351915"/>
              <wp:effectExtent l="0" t="0" r="0" b="0"/>
              <wp:wrapNone/>
              <wp:docPr id="548744974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00" cy="1351915"/>
                      </a:xfrm>
                      <a:prstGeom prst="rect">
                        <a:avLst/>
                      </a:prstGeom>
                      <a:solidFill>
                        <a:srgbClr val="000A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F5D03F" id="Rectangle 6" o:spid="_x0000_s1026" style="position:absolute;margin-left:-96.6pt;margin-top:-22.8pt;width:695pt;height:10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" fillcolor="#000a5e" stroked="f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CF90" w14:textId="77777777" w:rsidR="00746DD7" w:rsidRDefault="00746DD7" w:rsidP="00A26884">
      <w:r>
        <w:separator/>
      </w:r>
    </w:p>
  </w:footnote>
  <w:footnote w:type="continuationSeparator" w:id="0">
    <w:p w14:paraId="71AEB9FA" w14:textId="77777777" w:rsidR="00746DD7" w:rsidRDefault="00746DD7" w:rsidP="00A26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6A82" w14:textId="20BBF6C1" w:rsidR="00A26884" w:rsidRDefault="00A26884">
    <w:pPr>
      <w:pStyle w:val="Header"/>
    </w:pPr>
    <w:r w:rsidRPr="00CF3EFD">
      <w:rPr>
        <w:noProof/>
        <w:color w:val="FFCC03"/>
        <w:sz w:val="20"/>
        <w:szCs w:val="20"/>
        <w:lang w:val="es-HN"/>
      </w:rPr>
      <w:drawing>
        <wp:anchor distT="0" distB="0" distL="114300" distR="114300" simplePos="0" relativeHeight="251660288" behindDoc="0" locked="0" layoutInCell="1" allowOverlap="1" wp14:anchorId="0B28E4F8" wp14:editId="7C5A0897">
          <wp:simplePos x="0" y="0"/>
          <wp:positionH relativeFrom="column">
            <wp:posOffset>-402960</wp:posOffset>
          </wp:positionH>
          <wp:positionV relativeFrom="paragraph">
            <wp:posOffset>-414800</wp:posOffset>
          </wp:positionV>
          <wp:extent cx="4294207" cy="832215"/>
          <wp:effectExtent l="0" t="0" r="0" b="0"/>
          <wp:wrapNone/>
          <wp:docPr id="165678133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781335" name="Picture 165678133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4207" cy="832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3EFD">
      <w:rPr>
        <w:noProof/>
        <w:color w:val="000000" w:themeColor="text1"/>
        <w:sz w:val="20"/>
        <w:szCs w:val="20"/>
        <w:lang w:val="es-4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4C0B60" wp14:editId="27751EEB">
              <wp:simplePos x="0" y="0"/>
              <wp:positionH relativeFrom="column">
                <wp:posOffset>-1226916</wp:posOffset>
              </wp:positionH>
              <wp:positionV relativeFrom="paragraph">
                <wp:posOffset>-623200</wp:posOffset>
              </wp:positionV>
              <wp:extent cx="8826500" cy="1030147"/>
              <wp:effectExtent l="0" t="0" r="0" b="0"/>
              <wp:wrapNone/>
              <wp:docPr id="930290584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00" cy="1030147"/>
                      </a:xfrm>
                      <a:prstGeom prst="rect">
                        <a:avLst/>
                      </a:prstGeom>
                      <a:solidFill>
                        <a:srgbClr val="000A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2AD7F3" id="Rectangle 6" o:spid="_x0000_s1026" style="position:absolute;margin-left:-96.6pt;margin-top:-49.05pt;width:695pt;height:8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" fillcolor="#000a5e" stroked="f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3FF4"/>
    <w:multiLevelType w:val="hybridMultilevel"/>
    <w:tmpl w:val="5908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44069"/>
    <w:multiLevelType w:val="hybridMultilevel"/>
    <w:tmpl w:val="8BB8B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C4ACC"/>
    <w:multiLevelType w:val="multilevel"/>
    <w:tmpl w:val="5D7E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A245AA"/>
    <w:multiLevelType w:val="hybridMultilevel"/>
    <w:tmpl w:val="7F2C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7626F"/>
    <w:multiLevelType w:val="hybridMultilevel"/>
    <w:tmpl w:val="11BE1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45BE3"/>
    <w:multiLevelType w:val="hybridMultilevel"/>
    <w:tmpl w:val="A328C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91D1C"/>
    <w:multiLevelType w:val="multilevel"/>
    <w:tmpl w:val="E19C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70303B"/>
    <w:multiLevelType w:val="hybridMultilevel"/>
    <w:tmpl w:val="24F09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E5FF3"/>
    <w:multiLevelType w:val="hybridMultilevel"/>
    <w:tmpl w:val="4170B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7321A"/>
    <w:multiLevelType w:val="hybridMultilevel"/>
    <w:tmpl w:val="14A2E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514726">
    <w:abstractNumId w:val="2"/>
  </w:num>
  <w:num w:numId="2" w16cid:durableId="1354574953">
    <w:abstractNumId w:val="6"/>
  </w:num>
  <w:num w:numId="3" w16cid:durableId="665327030">
    <w:abstractNumId w:val="1"/>
  </w:num>
  <w:num w:numId="4" w16cid:durableId="2020815817">
    <w:abstractNumId w:val="4"/>
  </w:num>
  <w:num w:numId="5" w16cid:durableId="1349714805">
    <w:abstractNumId w:val="5"/>
  </w:num>
  <w:num w:numId="6" w16cid:durableId="947925655">
    <w:abstractNumId w:val="9"/>
  </w:num>
  <w:num w:numId="7" w16cid:durableId="1994289555">
    <w:abstractNumId w:val="7"/>
  </w:num>
  <w:num w:numId="8" w16cid:durableId="698774274">
    <w:abstractNumId w:val="8"/>
  </w:num>
  <w:num w:numId="9" w16cid:durableId="966280599">
    <w:abstractNumId w:val="0"/>
  </w:num>
  <w:num w:numId="10" w16cid:durableId="1184595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493"/>
    <w:rsid w:val="00044B63"/>
    <w:rsid w:val="00285B3D"/>
    <w:rsid w:val="002E07EA"/>
    <w:rsid w:val="002E1945"/>
    <w:rsid w:val="0036687A"/>
    <w:rsid w:val="00490BA9"/>
    <w:rsid w:val="005D0607"/>
    <w:rsid w:val="005E6493"/>
    <w:rsid w:val="006763A1"/>
    <w:rsid w:val="006A2F1C"/>
    <w:rsid w:val="00744186"/>
    <w:rsid w:val="00746DD7"/>
    <w:rsid w:val="00991F15"/>
    <w:rsid w:val="009E11C1"/>
    <w:rsid w:val="00A26884"/>
    <w:rsid w:val="00A27FDD"/>
    <w:rsid w:val="00AB77DC"/>
    <w:rsid w:val="00C71E8F"/>
    <w:rsid w:val="00DE3F1C"/>
    <w:rsid w:val="00E15589"/>
    <w:rsid w:val="00E3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E847F8"/>
  <w15:chartTrackingRefBased/>
  <w15:docId w15:val="{084FD155-7BA2-8940-8598-8B0E2EC9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493"/>
    <w:pPr>
      <w:widowControl w:val="0"/>
      <w:spacing w:after="0" w:line="240" w:lineRule="auto"/>
    </w:pPr>
    <w:rPr>
      <w:rFonts w:ascii="Noto Sans" w:eastAsia="Noto Sans" w:hAnsi="Noto Sans" w:cs="Noto Sans"/>
      <w:kern w:val="0"/>
      <w:sz w:val="22"/>
      <w:szCs w:val="22"/>
      <w:lang w:val="en-US" w:eastAsia="es-G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4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4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4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4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4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4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E64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4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4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6493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2E1945"/>
  </w:style>
  <w:style w:type="character" w:customStyle="1" w:styleId="eop">
    <w:name w:val="eop"/>
    <w:basedOn w:val="DefaultParagraphFont"/>
    <w:rsid w:val="002E1945"/>
  </w:style>
  <w:style w:type="paragraph" w:styleId="Header">
    <w:name w:val="header"/>
    <w:basedOn w:val="Normal"/>
    <w:link w:val="HeaderChar"/>
    <w:uiPriority w:val="99"/>
    <w:unhideWhenUsed/>
    <w:rsid w:val="00A268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884"/>
    <w:rPr>
      <w:rFonts w:ascii="Noto Sans" w:eastAsia="Noto Sans" w:hAnsi="Noto Sans" w:cs="Noto Sans"/>
      <w:kern w:val="0"/>
      <w:sz w:val="22"/>
      <w:szCs w:val="22"/>
      <w:lang w:val="en-US" w:eastAsia="es-G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268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884"/>
    <w:rPr>
      <w:rFonts w:ascii="Noto Sans" w:eastAsia="Noto Sans" w:hAnsi="Noto Sans" w:cs="Noto Sans"/>
      <w:kern w:val="0"/>
      <w:sz w:val="22"/>
      <w:szCs w:val="22"/>
      <w:lang w:val="en-US" w:eastAsia="es-G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law/better-regulation/have-your-say_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erodeforestationhub.e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erodeforestationhub.eu/projects/safe/ecuador/download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Aguilera</dc:creator>
  <cp:keywords/>
  <dc:description/>
  <cp:lastModifiedBy>Alejandra Aguilera</cp:lastModifiedBy>
  <cp:revision>12</cp:revision>
  <dcterms:created xsi:type="dcterms:W3CDTF">2026-05-20T15:09:00Z</dcterms:created>
  <dcterms:modified xsi:type="dcterms:W3CDTF">2026-05-20T16:08:00Z</dcterms:modified>
</cp:coreProperties>
</file>